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center"/>
        <w:rPr>
          <w:rFonts w:ascii="Times New Roman" w:cs="Times New Roman" w:hAnsi="Times New Roman"/>
        </w:rPr>
      </w:pPr>
      <w:r>
        <w:rPr>
          <w:rFonts w:ascii="Times New Roman" w:cs="Times New Roman" w:hAnsi="Times New Roman"/>
        </w:rPr>
        <w:t>The Bhopal Case</w:t>
      </w:r>
    </w:p>
    <w:p>
      <w:pPr>
        <w:pStyle w:val="style0"/>
        <w:spacing w:lineRule="auto" w:line="480"/>
        <w:jc w:val="center"/>
        <w:rPr>
          <w:rFonts w:ascii="Times New Roman" w:cs="Times New Roman" w:hAnsi="Times New Roman"/>
        </w:rPr>
      </w:pPr>
      <w:r>
        <w:rPr>
          <w:rFonts w:ascii="Times New Roman" w:cs="Times New Roman" w:hAnsi="Times New Roman"/>
        </w:rPr>
        <w:t>Institution</w:t>
      </w:r>
    </w:p>
    <w:p>
      <w:pPr>
        <w:pStyle w:val="style0"/>
        <w:spacing w:lineRule="auto" w:line="480"/>
        <w:jc w:val="center"/>
        <w:rPr>
          <w:rFonts w:ascii="Times New Roman" w:cs="Times New Roman" w:hAnsi="Times New Roman"/>
        </w:rPr>
      </w:pPr>
      <w:r>
        <w:rPr>
          <w:rFonts w:ascii="Times New Roman" w:cs="Times New Roman" w:hAnsi="Times New Roman"/>
        </w:rPr>
        <w:t>Name</w:t>
      </w:r>
    </w:p>
    <w:p>
      <w:pPr>
        <w:pStyle w:val="style0"/>
        <w:spacing w:lineRule="auto" w:line="480"/>
        <w:jc w:val="center"/>
        <w:rPr>
          <w:rFonts w:ascii="Times New Roman" w:cs="Times New Roman" w:hAnsi="Times New Roman"/>
        </w:rPr>
      </w:pPr>
      <w:r>
        <w:rPr>
          <w:rFonts w:ascii="Times New Roman" w:cs="Times New Roman" w:hAnsi="Times New Roman"/>
        </w:rPr>
        <w:t>Course</w:t>
      </w: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b/>
        </w:rPr>
      </w:pPr>
      <w:r>
        <w:rPr>
          <w:rFonts w:ascii="Times New Roman" w:cs="Times New Roman" w:hAnsi="Times New Roman"/>
          <w:b/>
        </w:rPr>
        <w:t>3.5</w:t>
      </w:r>
    </w:p>
    <w:p>
      <w:pPr>
        <w:pStyle w:val="style0"/>
        <w:spacing w:lineRule="auto" w:line="480"/>
        <w:jc w:val="both"/>
        <w:rPr>
          <w:rFonts w:ascii="Times New Roman" w:cs="Times New Roman" w:hAnsi="Times New Roman"/>
          <w:b/>
        </w:rPr>
      </w:pPr>
      <w:r>
        <w:rPr>
          <w:rFonts w:ascii="Times New Roman" w:cs="Times New Roman" w:hAnsi="Times New Roman"/>
          <w:b/>
          <w:color w:val="353535"/>
        </w:rPr>
        <w:t>Discuss with</w:t>
      </w:r>
      <w:r>
        <w:rPr>
          <w:rFonts w:ascii="Times New Roman" w:cs="Times New Roman" w:hAnsi="Times New Roman"/>
          <w:b/>
          <w:color w:val="353535"/>
        </w:rPr>
        <w:t xml:space="preserve"> </w:t>
      </w:r>
      <w:r>
        <w:rPr>
          <w:rFonts w:ascii="Times New Roman" w:cs="Times New Roman" w:hAnsi="Times New Roman"/>
          <w:b/>
          <w:color w:val="353535"/>
        </w:rPr>
        <w:t>a fellow student or faculty member who grew up in different culture what their ethical values are and how those values are transmitted and discussed in their country. Develop a list of values that are common between your culture and their culture.</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Ethical values refer to the respect that something is held to merit; the significance, worth, or convenience of something.</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 xml:space="preserve">As needs are, a significant thing is the one that is significant, commendable, or valuable. In this manner, values are key in our life and lie behind all the decisions we make. There are numerous qualities that oversee the decisions we make in our life, anyway bunches of them have nothing to do with profound quality. Monetary values, for example, are the ones lie behind all decisions we make in the economy and have nothing to do with ethical quality in essence. </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 xml:space="preserve">Moral values are the ones we settle on moral decisions dependent on them, or they are the sort of values that have to do with being great or making the best choice. </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One of the ways through which ethical values are transmitted from one person to the other is through parenting. A child acquires ethical values from the parents. Also, ethical issues can be passed through coming up with a set of beliefs that are supposed to be followed in a certain organization through which the workers will learn about the ethical values of the organization.</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There are numerous ethical values that are common in our cultures. Some of the common ethical values include; Equity, genuineness, sympathy, empathy, regard, and obligation are the most significant ones.</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3.11</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What responsibility should the national and local government in Bhopal have for ensuring that the plant is operated safely?</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 national and local government in Bhopal was supposed to insist on construction of the plant facility in the sparsely populated site outside Bhopal. The national and local government had earlier set a site that was designated as an industrial area for building industrial facilities that were supposed to house hazardous industrial products.</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Both national and local government in Bhopal was supposed to insist on ensuring that all safety measures were met before they started operating. At the point when the plant was first planned, the overseeing executive of UCIL prescribed that the fundamental structure of the Bhopal MIC office be modified to include just token stockpiling in little individual holders. In any case, UCIL was overruled by the parent organization, which demanded a structure like the West Virginia plant. But for reasons of economy, Bhopal's "delightful plant" would not be given all the wellbeing hardware and security frameworks, the architects in South Charleston had visualized (</w:t>
      </w:r>
      <w:r>
        <w:rPr>
          <w:rFonts w:ascii="Times New Roman" w:cs="Times New Roman" w:hAnsi="Times New Roman"/>
          <w:color w:val="353535"/>
        </w:rPr>
        <w:t>Eckerman</w:t>
      </w:r>
      <w:r>
        <w:rPr>
          <w:rFonts w:ascii="Times New Roman" w:cs="Times New Roman" w:hAnsi="Times New Roman"/>
          <w:color w:val="353535"/>
        </w:rPr>
        <w:t>, 2004). The exact purposes behind these economies would stay cloud</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3.13</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In the absence of environmental or safety laws in the locality where it operates, what responsibility does a U.S. corporation have when operating overseas? Does the answer change if the locality does have laws, but they are less strict than ours? What about the ethics of a U.S. corporation selling products overseas that are banned in the United States, such as DDT?</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 xml:space="preserve">If safety and environmental laws are not available in the area of operation where the company is situated, the company is supposed to advice the local authority and the national government of that </w:t>
      </w:r>
      <w:r>
        <w:rPr>
          <w:rFonts w:ascii="Times New Roman" w:cs="Times New Roman" w:hAnsi="Times New Roman"/>
          <w:color w:val="353535"/>
        </w:rPr>
        <w:t>country</w:t>
      </w:r>
      <w:r>
        <w:rPr>
          <w:rFonts w:ascii="Times New Roman" w:cs="Times New Roman" w:hAnsi="Times New Roman"/>
          <w:color w:val="353535"/>
        </w:rPr>
        <w:t xml:space="preserve"> on what it should entail in its operations about the safety of the environment. Officially prompt their managers or customers (and think about further exposure, whenever justified) in the </w:t>
      </w:r>
      <w:r>
        <w:rPr>
          <w:rFonts w:ascii="Times New Roman" w:cs="Times New Roman" w:hAnsi="Times New Roman"/>
          <w:color w:val="353535"/>
        </w:rPr>
        <w:t xml:space="preserve">event that they see that an outcome of their obligations will unfavorably influence the present or future wellbeing or security of their associates or the general population. </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 answer should not change since the company is obliged to ensure safety of the people. Thus, the company officials are supposed to table all the procedures and rules that are supposed to be obeyed in order to avoid the occurrence of that fateful event that took place in Bhopal (</w:t>
      </w:r>
      <w:r>
        <w:rPr>
          <w:rFonts w:ascii="Times New Roman" w:cs="Times New Roman" w:hAnsi="Times New Roman"/>
          <w:color w:val="353535"/>
        </w:rPr>
        <w:t>Eckerman</w:t>
      </w:r>
      <w:r>
        <w:rPr>
          <w:rFonts w:ascii="Times New Roman" w:cs="Times New Roman" w:hAnsi="Times New Roman"/>
          <w:color w:val="353535"/>
        </w:rPr>
        <w:t>, 2004).</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Officially prompt their managers or customers (and think about further exposure, whenever justified) in the event that they see that an outcome of their obligations will unfavorably influence the present or future wellbeing or security of their associates or the general population.</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 xml:space="preserve">3.6 </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Use the ethical theories discussed in this chapter to analyze the Bhopal case. Topics to be considered should include the placing of a hazardous plant in a populated area, decisions to defer maintenance on essential safety systems, etc. Important theories to consider when doing your analysis are rights and duty ethics and utilitarianism.</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In ethical theories dependent on rights, the rights set up by a general public are ensured and given the most astounding need. Rights are viewed as morally right and substantial since a huge populace embraces them. People may likewise offer rights to other people on the off chance that they have the capacity and assets to do as such.</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 xml:space="preserve">Utilitarian ethical theory depend on one's capacity to anticipate the outcomes of an activity. To a utilitarian, the decision that yields the best advantage to the great many people is the one that is morally right (AICHE, 2019). There are two kinds of utilitarianism, act utilitarianism and principle utilitarianism. Act utilitarianism buys in decisively to the meaning of utilitarianism—an individual plays out the demonstrations that advantage the great many people, paying little respect to </w:t>
      </w:r>
      <w:r>
        <w:rPr>
          <w:rFonts w:ascii="Times New Roman" w:cs="Times New Roman" w:hAnsi="Times New Roman"/>
          <w:color w:val="353535"/>
        </w:rPr>
        <w:t>individual emotions or the societal limitations, for example, laws. Guideline utilitarianism considers the law and is worried about reasonableness. A standard utilitarian looks to profit the vast majority; however, through the most attractive and most just methods accessible. Along these lines, included advantages of principle utilitarianism are that it esteems equity and incorporates value in the meantime.</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At the point when the plant was first planned, the overseeing executive of UCIL prescribed that the fundamental structure of the Bhopal MIC office be modified to include just token stockpiling in little individual holders. In any case, UCIL was overruled by the parent organization, which demanded a structure like the West Virginia plant (</w:t>
      </w:r>
      <w:r>
        <w:rPr>
          <w:rFonts w:ascii="Times New Roman" w:cs="Times New Roman" w:hAnsi="Times New Roman"/>
          <w:color w:val="353535"/>
        </w:rPr>
        <w:t>Eckerman</w:t>
      </w:r>
      <w:r>
        <w:rPr>
          <w:rFonts w:ascii="Times New Roman" w:cs="Times New Roman" w:hAnsi="Times New Roman"/>
          <w:color w:val="353535"/>
        </w:rPr>
        <w:t xml:space="preserve">, 2004). But for reasons of economy, Bhopal's "delightful plant" would not be given all the wellbeing hardware and security frameworks the architects in South Charleston had visualized.  The </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3.7</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Find a copy of the code of ethics of the American Institute of Chemical Engineers and use it to analyze what a process engineer working at this plant should have done. What does the code say about the responsibilities of the engineers who designed the plant and the engineers responsible for making maintenance decisions?</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A process engineer working at Bhopal plant was supposed to ensure that safety, health, and welfare of the public was held paramount. Also, the process engineer was supposed to ensure that the environment was protected (AICHE, 2019).  The process engineer was supposed to ensure that all the construction requirements were met before the plant started operating. Through this ensuring of all building, measures were met, the fateful event could not have occurred.</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 code asserts that it is the engineers should accept responsibility for their actions. In this case, it appears that the plant set up in India did not follow strictly the procedure that was due and thus the occurrence of the fateful event that led to death and injuries of many people around India.</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3.8</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What responsibility does Union Carbide have for the actions of its subsidiaries? Union Carbide India was 50.9% owned by the parent company.</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Union Carbide is supposed to offer advice for all the actions of its subsidiaries. Union Carbide is responsible for ensuring its subsidiaries are following the required procedures and measures. This can be ensured through going through the monthly reports that were send to the headquarters of the company based in Virginia, USA.</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 arrangement of UCC was to keep up "brought together incorporated corporate key arranging, coordinating and control." The Indian auxiliary needed to send comprehensive month to month working reports to UCC. All mishaps including lethal or genuine wounds "will be investigated by the UCC official." In 1982 more than 30 percent of UCIL's crude materials, save parts and segments were imported (</w:t>
      </w:r>
      <w:r>
        <w:rPr>
          <w:rFonts w:ascii="Times New Roman" w:cs="Times New Roman" w:hAnsi="Times New Roman"/>
          <w:color w:val="353535"/>
        </w:rPr>
        <w:t>Eckerman</w:t>
      </w:r>
      <w:r>
        <w:rPr>
          <w:rFonts w:ascii="Times New Roman" w:cs="Times New Roman" w:hAnsi="Times New Roman"/>
          <w:color w:val="353535"/>
        </w:rPr>
        <w:t>, 2004). Preparing for Bhopal the board was additionally given in the USA. UCIL was one of only a handful couple of firms in India in which the parent organization was permitted to keep up a dominant part intrigue since it had all "know-how."</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3.9</w:t>
      </w:r>
    </w:p>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What duty did Union Carbide have to inform local officials in India of the potential dangers of manufacturing and storing MIC in India?</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 Union Carbide had the duty of Hold vital the wellbeing, wellbeing, and welfare of general society and secure the earth in the execution of their expert obligations.</w:t>
      </w:r>
    </w:p>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 xml:space="preserve">However, a large portion of the specialists at the UCIL Bhopal plant had not gotten preparing or data about the risks of the harmful synthetic concoctions in the plant. Inhabitants of the nearby </w:t>
      </w:r>
      <w:r>
        <w:rPr>
          <w:rFonts w:ascii="Times New Roman" w:cs="Times New Roman" w:hAnsi="Times New Roman"/>
          <w:color w:val="353535"/>
        </w:rPr>
        <w:t>bastis</w:t>
      </w:r>
      <w:r>
        <w:rPr>
          <w:rFonts w:ascii="Times New Roman" w:cs="Times New Roman" w:hAnsi="Times New Roman"/>
          <w:color w:val="353535"/>
        </w:rPr>
        <w:t xml:space="preserve"> thought the plant was making "prescription" for yields (</w:t>
      </w:r>
      <w:r>
        <w:rPr>
          <w:rFonts w:ascii="Times New Roman" w:cs="Times New Roman" w:hAnsi="Times New Roman"/>
          <w:color w:val="353535"/>
        </w:rPr>
        <w:t>Eckerman</w:t>
      </w:r>
      <w:r>
        <w:rPr>
          <w:rFonts w:ascii="Times New Roman" w:cs="Times New Roman" w:hAnsi="Times New Roman"/>
          <w:color w:val="353535"/>
        </w:rPr>
        <w:t xml:space="preserve">, 2004). City and state experts were not given data on the synthetic compounds in the plant. In spite of the fact that UCIL had given </w:t>
      </w:r>
      <w:r>
        <w:rPr>
          <w:rFonts w:ascii="Times New Roman" w:cs="Times New Roman" w:hAnsi="Times New Roman"/>
          <w:color w:val="353535"/>
        </w:rPr>
        <w:t>Hamidia</w:t>
      </w:r>
      <w:r>
        <w:rPr>
          <w:rFonts w:ascii="Times New Roman" w:cs="Times New Roman" w:hAnsi="Times New Roman"/>
          <w:color w:val="353535"/>
        </w:rPr>
        <w:t xml:space="preserve"> Hospital present-day revival hardware, the therapeutic staff connected via Carbide did not get particular preparing in the pathology of gas related mishaps.</w:t>
      </w:r>
    </w:p>
    <w:bookmarkStart w:id="0" w:name="_GoBack"/>
    <w:p>
      <w:pPr>
        <w:pStyle w:val="style0"/>
        <w:spacing w:lineRule="auto" w:line="480"/>
        <w:jc w:val="both"/>
        <w:rPr>
          <w:rFonts w:ascii="Times New Roman" w:cs="Times New Roman" w:hAnsi="Times New Roman"/>
          <w:b/>
          <w:color w:val="353535"/>
        </w:rPr>
      </w:pPr>
      <w:r>
        <w:rPr>
          <w:rFonts w:ascii="Times New Roman" w:cs="Times New Roman" w:hAnsi="Times New Roman"/>
          <w:b/>
          <w:color w:val="353535"/>
        </w:rPr>
        <w:t>Some of Union Carbide's reports hinted strongly that part of the fault lay with the inadequate workforce available in a third-world country such as India. How valid is this statement? What are the ethical implications for Union Carbide if this statement is true?</w:t>
      </w:r>
    </w:p>
    <w:bookmarkEnd w:id="0"/>
    <w:p>
      <w:pPr>
        <w:pStyle w:val="style0"/>
        <w:spacing w:lineRule="auto" w:line="480"/>
        <w:jc w:val="both"/>
        <w:rPr>
          <w:rFonts w:ascii="Times New Roman" w:cs="Times New Roman" w:hAnsi="Times New Roman"/>
          <w:color w:val="353535"/>
        </w:rPr>
      </w:pPr>
      <w:r>
        <w:rPr>
          <w:rFonts w:ascii="Times New Roman" w:cs="Times New Roman" w:hAnsi="Times New Roman"/>
          <w:color w:val="353535"/>
        </w:rPr>
        <w:t>The validity of this statement is not questionable. To be an operator in the MIC plant toward the start, one must be either a graduate in science or a holder of mechanical or chemical engineering. The preparation of the administrators at the MIC plant was later abbreviated from a half year to about two months. As a rule, workers and operators were given more obligation than they had the preparation and fitness to adapt to (</w:t>
      </w:r>
      <w:r>
        <w:rPr>
          <w:rFonts w:ascii="Times New Roman" w:cs="Times New Roman" w:hAnsi="Times New Roman"/>
          <w:color w:val="353535"/>
        </w:rPr>
        <w:t>Eckerman</w:t>
      </w:r>
      <w:r>
        <w:rPr>
          <w:rFonts w:ascii="Times New Roman" w:cs="Times New Roman" w:hAnsi="Times New Roman"/>
          <w:color w:val="353535"/>
        </w:rPr>
        <w:t>, 2004). Opening at the MIC plant was filled by untalented faculty starting from the closed pieces of the plant.</w:t>
      </w:r>
    </w:p>
    <w:p>
      <w:pPr>
        <w:pStyle w:val="style0"/>
        <w:spacing w:lineRule="auto" w:line="480"/>
        <w:jc w:val="both"/>
        <w:rPr>
          <w:rFonts w:ascii="Times New Roman" w:cs="Times New Roman" w:hAnsi="Times New Roman"/>
        </w:rPr>
      </w:pPr>
      <w:r>
        <w:rPr>
          <w:rFonts w:ascii="Times New Roman" w:cs="Times New Roman" w:hAnsi="Times New Roman"/>
          <w:color w:val="353535"/>
        </w:rPr>
        <w:t>If this statement is true, the company was supposed to start a professional development session throughout the entire career of the workers. Through such an initiative by the company, it could provide opportunities for the professional development of those under their supervision (AICHE, 2019).</w:t>
      </w: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both"/>
        <w:rPr>
          <w:rFonts w:ascii="Times New Roman" w:cs="Times New Roman" w:hAnsi="Times New Roman"/>
        </w:rPr>
      </w:pPr>
    </w:p>
    <w:p>
      <w:pPr>
        <w:pStyle w:val="style0"/>
        <w:spacing w:lineRule="auto" w:line="480"/>
        <w:jc w:val="center"/>
        <w:rPr>
          <w:rFonts w:ascii="Times New Roman" w:cs="Times New Roman" w:hAnsi="Times New Roman"/>
        </w:rPr>
      </w:pPr>
    </w:p>
    <w:p>
      <w:pPr>
        <w:pStyle w:val="style0"/>
        <w:spacing w:lineRule="auto" w:line="480"/>
        <w:jc w:val="center"/>
        <w:rPr>
          <w:rFonts w:ascii="Times New Roman" w:cs="Times New Roman" w:hAnsi="Times New Roman"/>
        </w:rPr>
      </w:pPr>
      <w:r>
        <w:rPr>
          <w:rFonts w:ascii="Times New Roman" w:cs="Times New Roman" w:hAnsi="Times New Roman"/>
        </w:rPr>
        <w:t>References</w:t>
      </w:r>
    </w:p>
    <w:p>
      <w:pPr>
        <w:pStyle w:val="style265"/>
        <w:spacing w:lineRule="auto" w:line="480"/>
        <w:ind w:left="720" w:hanging="720"/>
        <w:jc w:val="both"/>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AICHE. (2019, July 6). </w:t>
      </w:r>
      <w:r>
        <w:rPr>
          <w:rFonts w:ascii="Times New Roman" w:cs="Times New Roman" w:hAnsi="Times New Roman"/>
          <w:i/>
          <w:iCs/>
          <w:noProof/>
          <w:sz w:val="24"/>
          <w:szCs w:val="24"/>
        </w:rPr>
        <w:t>AICHE The Global Home of Chemical Engineers</w:t>
      </w:r>
      <w:r>
        <w:rPr>
          <w:rFonts w:ascii="Times New Roman" w:cs="Times New Roman" w:hAnsi="Times New Roman"/>
          <w:noProof/>
          <w:sz w:val="24"/>
          <w:szCs w:val="24"/>
        </w:rPr>
        <w:t>. Retrieved from https://www.aiche.org/about/code-ethics</w:t>
      </w:r>
    </w:p>
    <w:p>
      <w:pPr>
        <w:pStyle w:val="style265"/>
        <w:spacing w:lineRule="auto" w:line="480"/>
        <w:ind w:left="720" w:hanging="720"/>
        <w:jc w:val="both"/>
        <w:rPr>
          <w:rFonts w:ascii="Times New Roman" w:cs="Times New Roman" w:hAnsi="Times New Roman"/>
          <w:noProof/>
          <w:sz w:val="24"/>
          <w:szCs w:val="24"/>
        </w:rPr>
      </w:pPr>
      <w:r>
        <w:rPr>
          <w:rFonts w:ascii="Times New Roman" w:cs="Times New Roman" w:hAnsi="Times New Roman"/>
          <w:noProof/>
          <w:sz w:val="24"/>
          <w:szCs w:val="24"/>
        </w:rPr>
        <w:t xml:space="preserve">Eckerman, I. (2004). </w:t>
      </w:r>
      <w:r>
        <w:rPr>
          <w:rFonts w:ascii="Times New Roman" w:cs="Times New Roman" w:hAnsi="Times New Roman"/>
          <w:i/>
          <w:iCs/>
          <w:noProof/>
          <w:sz w:val="24"/>
          <w:szCs w:val="24"/>
        </w:rPr>
        <w:t>The Bhopal Saga –Causes and Consequences of the World’s Largest Industrial Disaster.</w:t>
      </w:r>
      <w:r>
        <w:rPr>
          <w:rFonts w:ascii="Times New Roman" w:cs="Times New Roman" w:hAnsi="Times New Roman"/>
          <w:noProof/>
          <w:sz w:val="24"/>
          <w:szCs w:val="24"/>
        </w:rPr>
        <w:t xml:space="preserve"> India: Universities Press (India) Private Limited.</w:t>
      </w:r>
    </w:p>
    <w:p>
      <w:pPr>
        <w:pStyle w:val="style0"/>
        <w:spacing w:lineRule="auto" w:line="480"/>
        <w:jc w:val="both"/>
        <w:rPr>
          <w:rFonts w:ascii="Times New Roman" w:cs="Times New Roman" w:hAnsi="Times New Roman"/>
        </w:rPr>
      </w:pPr>
      <w:r>
        <w:rPr>
          <w:rFonts w:ascii="Times New Roman" w:cs="Times New Roman" w:hAnsi="Times New Roman"/>
          <w:b/>
          <w:bCs/>
          <w:noProof/>
        </w:rPr>
        <w:fldChar w:fldCharType="end"/>
      </w:r>
    </w:p>
    <w:p>
      <w:pPr>
        <w:pStyle w:val="style0"/>
        <w:spacing w:lineRule="auto" w:line="480"/>
        <w:jc w:val="both"/>
        <w:rPr>
          <w:rFonts w:ascii="Times New Roman" w:cs="Times New Roman" w:hAnsi="Times New Roman"/>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8"/>
      </w:rPr>
    </w:pPr>
    <w:r>
      <w:rPr>
        <w:rFonts w:ascii="Times New Roman" w:cs="Times New Roman" w:hAnsi="Times New Roman"/>
        <w:sz w:val="28"/>
      </w:rPr>
      <w:t xml:space="preserve">THE </w:t>
    </w:r>
    <w:r>
      <w:rPr>
        <w:rFonts w:ascii="Times New Roman" w:cs="Times New Roman" w:hAnsi="Times New Roman"/>
        <w:sz w:val="28"/>
      </w:rPr>
      <w:t>BHOPAL</w:t>
    </w:r>
    <w:r>
      <w:rPr>
        <w:rFonts w:ascii="Times New Roman" w:cs="Times New Roman" w:hAnsi="Times New Roman"/>
        <w:sz w:val="28"/>
      </w:rPr>
      <w:t>CASE</w:t>
    </w:r>
    <w:r>
      <w:rPr>
        <w:rFonts w:ascii="Times New Roman" w:cs="Times New Roman" w:hAnsi="Times New Roman"/>
        <w:sz w:val="28"/>
      </w:rPr>
      <w:tab/>
    </w:r>
    <w:r>
      <w:rPr>
        <w:rFonts w:ascii="Times New Roman" w:cs="Times New Roman" w:hAnsi="Times New Roman"/>
        <w:sz w:val="28"/>
      </w:rPr>
      <w:tab/>
    </w:r>
    <w:r>
      <w:rPr>
        <w:rFonts w:ascii="Times New Roman" w:cs="Times New Roman" w:hAnsi="Times New Roman"/>
        <w:sz w:val="28"/>
      </w:rPr>
      <w:fldChar w:fldCharType="begin"/>
    </w:r>
    <w:r>
      <w:rPr>
        <w:rFonts w:ascii="Times New Roman" w:cs="Times New Roman" w:hAnsi="Times New Roman"/>
        <w:sz w:val="28"/>
      </w:rPr>
      <w:instrText xml:space="preserve"> PAGE   \* MERGEFORMAT </w:instrText>
    </w:r>
    <w:r>
      <w:rPr>
        <w:rFonts w:ascii="Times New Roman" w:cs="Times New Roman" w:hAnsi="Times New Roman"/>
        <w:sz w:val="28"/>
      </w:rPr>
      <w:fldChar w:fldCharType="separate"/>
    </w:r>
    <w:r>
      <w:rPr>
        <w:rFonts w:ascii="Times New Roman" w:cs="Times New Roman" w:hAnsi="Times New Roman"/>
        <w:noProof/>
        <w:sz w:val="28"/>
      </w:rPr>
      <w:t>8</w:t>
    </w:r>
    <w:r>
      <w:rPr>
        <w:rFonts w:ascii="Times New Roman" w:cs="Times New Roman" w:hAnsi="Times New Roman"/>
        <w:noProof/>
        <w:sz w:val="28"/>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rPr>
    </w:pPr>
    <w:r>
      <w:rPr>
        <w:rFonts w:ascii="Times New Roman" w:cs="Times New Roman" w:hAnsi="Times New Roman"/>
      </w:rPr>
      <w:t xml:space="preserve">Running Head: </w:t>
    </w:r>
    <w:r>
      <w:rPr>
        <w:rFonts w:ascii="Times New Roman" w:cs="Times New Roman" w:hAnsi="Times New Roman"/>
      </w:rPr>
      <w:t xml:space="preserve">THE </w:t>
    </w:r>
    <w:r>
      <w:rPr>
        <w:rFonts w:ascii="Times New Roman" w:cs="Times New Roman" w:hAnsi="Times New Roman"/>
      </w:rPr>
      <w:t>BHOPAL</w:t>
    </w:r>
    <w:r>
      <w:rPr>
        <w:rFonts w:ascii="Times New Roman" w:cs="Times New Roman" w:hAnsi="Times New Roman"/>
      </w:rPr>
      <w:t xml:space="preserve"> CASE</w:t>
    </w:r>
    <w:r>
      <w:rPr>
        <w:rFonts w:ascii="Times New Roman" w:cs="Times New Roman" w:hAnsi="Times New Roman"/>
      </w:rPr>
      <w:tab/>
    </w:r>
    <w:r>
      <w:rPr>
        <w:rFonts w:ascii="Times New Roman" w:cs="Times New Roman" w:hAnsi="Times New Roman"/>
      </w:rPr>
      <w:tab/>
    </w:r>
    <w:r>
      <w:rPr>
        <w:rFonts w:ascii="Times New Roman" w:cs="Times New Roman" w:hAnsi="Times New Roman"/>
      </w:rPr>
      <w:t xml:space="preserv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1</w:t>
    </w:r>
    <w:r>
      <w:rPr>
        <w:rFonts w:ascii="Times New Roman" w:cs="Times New Roman" w:hAnsi="Times New Roman"/>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606EC27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20EEC84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DAF8FA6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82627C08"/>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C57259C8"/>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74F414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6C78B65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E7EC03D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2"/>
  </w:num>
  <w:num w:numId="5">
    <w:abstractNumId w:val="7"/>
  </w:num>
  <w:num w:numId="6">
    <w:abstractNumId w:val="3"/>
  </w:num>
  <w:num w:numId="7">
    <w:abstractNumId w:val="6"/>
  </w:num>
  <w:num w:numId="8">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4"/>
        <w:szCs w:val="24"/>
        <w:lang w:val="en-US" w:bidi="ar-SA" w:eastAsia="en-US"/>
      </w:rPr>
    </w:rPrDefault>
    <w:pPrDefault>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outlineLvl w:val="0"/>
    </w:pPr>
    <w:rPr>
      <w:rFonts w:ascii="Calibri Light" w:cs="Times New Roman" w:eastAsia="宋体" w:hAnsi="Calibri Light"/>
      <w:color w:val="2f5496"/>
      <w:sz w:val="32"/>
      <w:szCs w:val="32"/>
    </w:rPr>
  </w:style>
  <w:style w:type="paragraph" w:styleId="style2">
    <w:name w:val="heading 2"/>
    <w:basedOn w:val="style0"/>
    <w:next w:val="style0"/>
    <w:link w:val="style4099"/>
    <w:qFormat/>
    <w:uiPriority w:val="9"/>
    <w:pPr>
      <w:keepNext/>
      <w:keepLines/>
      <w:spacing w:before="40"/>
      <w:outlineLvl w:val="1"/>
    </w:pPr>
    <w:rPr>
      <w:rFonts w:ascii="Calibri Light" w:cs="Times New Roman" w:eastAsia="宋体" w:hAnsi="Calibri Light"/>
      <w:color w:val="2f5496"/>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pPr>
    <w:rPr>
      <w:rFonts w:ascii="Times New Roman" w:cs="Times New Roman" w:eastAsia="Times New Roman" w:hAnsi="Times New Roman"/>
    </w:rPr>
  </w:style>
  <w:style w:type="paragraph" w:customStyle="1" w:styleId="style4097">
    <w:name w:val="entry"/>
    <w:basedOn w:val="style0"/>
    <w:next w:val="style4097"/>
    <w:pPr>
      <w:spacing w:before="100" w:beforeAutospacing="true" w:after="100" w:afterAutospacing="true"/>
    </w:pPr>
    <w:rPr>
      <w:rFonts w:ascii="Times New Roman" w:cs="Times New Roman" w:eastAsia="Times New Roman" w:hAnsi="Times New Roman"/>
    </w:rPr>
  </w:style>
  <w:style w:type="character" w:customStyle="1" w:styleId="style4098">
    <w:name w:val="Heading 1 Char_69633c24-ab5c-48c0-9855-9fe30824941b"/>
    <w:basedOn w:val="style65"/>
    <w:next w:val="style4098"/>
    <w:link w:val="style1"/>
    <w:uiPriority w:val="9"/>
    <w:rPr>
      <w:rFonts w:ascii="Calibri Light" w:cs="Times New Roman" w:eastAsia="宋体" w:hAnsi="Calibri Light"/>
      <w:color w:val="2f5496"/>
      <w:sz w:val="32"/>
      <w:szCs w:val="32"/>
    </w:rPr>
  </w:style>
  <w:style w:type="character" w:customStyle="1" w:styleId="style4099">
    <w:name w:val="Heading 2 Char_f19cc8b5-7be1-49dc-90c0-fc72e82568cc"/>
    <w:basedOn w:val="style65"/>
    <w:next w:val="style4099"/>
    <w:link w:val="style2"/>
    <w:uiPriority w:val="9"/>
    <w:rPr>
      <w:rFonts w:ascii="Calibri Light" w:cs="Times New Roman" w:eastAsia="宋体" w:hAnsi="Calibri Light"/>
      <w:color w:val="2f5496"/>
      <w:sz w:val="26"/>
      <w:szCs w:val="26"/>
    </w:rPr>
  </w:style>
  <w:style w:type="character" w:styleId="style87">
    <w:name w:val="Strong"/>
    <w:basedOn w:val="style65"/>
    <w:next w:val="style87"/>
    <w:qFormat/>
    <w:uiPriority w:val="22"/>
    <w:rPr>
      <w:b/>
      <w:bCs/>
    </w:rPr>
  </w:style>
  <w:style w:type="character" w:customStyle="1" w:styleId="style4100">
    <w:name w:val="apple-converted-space"/>
    <w:basedOn w:val="style65"/>
    <w:next w:val="style4100"/>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265">
    <w:name w:val="Bibliography"/>
    <w:basedOn w:val="style0"/>
    <w:next w:val="style0"/>
    <w:uiPriority w:val="37"/>
    <w:pPr>
      <w:spacing w:after="160" w:lineRule="auto" w:line="259"/>
    </w:pPr>
    <w:rPr>
      <w:sz w:val="22"/>
      <w:szCs w:val="22"/>
    </w:rPr>
  </w:style>
  <w:style w:type="paragraph" w:styleId="style31">
    <w:name w:val="header"/>
    <w:basedOn w:val="style0"/>
    <w:next w:val="style31"/>
    <w:link w:val="style4101"/>
    <w:uiPriority w:val="99"/>
    <w:pPr>
      <w:tabs>
        <w:tab w:val="center" w:leader="none" w:pos="4680"/>
        <w:tab w:val="right" w:leader="none" w:pos="9360"/>
      </w:tabs>
    </w:pPr>
    <w:rPr/>
  </w:style>
  <w:style w:type="character" w:customStyle="1" w:styleId="style4101">
    <w:name w:val="Header Char_6220961f-a1a8-42d8-ba74-2d9bb15147fd"/>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pPr>
    <w:rPr/>
  </w:style>
  <w:style w:type="character" w:customStyle="1" w:styleId="style4102">
    <w:name w:val="Footer Char_f00e0179-7397-4098-abad-9c56cb9a7192"/>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Ing04</b:Tag>
    <b:SourceType>Book</b:SourceType>
    <b:Guid>{27054523-0B2D-413E-B651-A7A60CA6B554}</b:Guid>
    <b:Author>
      <b:Author>
        <b:NameList>
          <b:Person>
            <b:Last>Eckerman</b:Last>
            <b:First>Ingrid</b:First>
          </b:Person>
        </b:NameList>
      </b:Author>
    </b:Author>
    <b:Title>The Bhopal Saga –Causes and Consequences of the World’s Largest Industrial Disaster.</b:Title>
    <b:Year>2004</b:Year>
    <b:City>India</b:City>
    <b:Publisher>Universities Press (India) Private Limited</b:Publisher>
    <b:RefOrder>1</b:RefOrder>
  </b:Source>
  <b:Source>
    <b:Tag>AIC19</b:Tag>
    <b:SourceType>InternetSite</b:SourceType>
    <b:Guid>{3A2F0BD1-AAB8-45AE-94DF-72464607F264}</b:Guid>
    <b:Title>AICHE The Global Home of Chemical Engineers</b:Title>
    <b:Year>2019</b:Year>
    <b:Author>
      <b:Author>
        <b:NameList>
          <b:Person>
            <b:Last>AICHE</b:Last>
          </b:Person>
        </b:NameList>
      </b:Author>
    </b:Author>
    <b:Month>July</b:Month>
    <b:Day>6</b:Day>
    <b:URL>https://www.aiche.org/about/code-ethics</b:URL>
    <b:RefOrder>2</b:RefOrder>
  </b:Source>
</b:Sources>
</file>

<file path=customXml/itemProps1.xml><?xml version="1.0" encoding="utf-8"?>
<ds:datastoreItem xmlns:ds="http://schemas.openxmlformats.org/officeDocument/2006/customXml" ds:itemID="{D8DA1615-E4AF-47F1-8873-9A9F86AE3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1771</Words>
  <Pages>8</Pages>
  <Characters>9264</Characters>
  <Application>WPS Office</Application>
  <DocSecurity>0</DocSecurity>
  <Paragraphs>74</Paragraphs>
  <ScaleCrop>false</ScaleCrop>
  <LinksUpToDate>false</LinksUpToDate>
  <CharactersWithSpaces>10999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2019-07-06T08:47:45Z</dcterms:created>
  <dc:creator>Aldahas, Hatem Safer</dc:creator>
  <lastModifiedBy>JKM-LX1</lastModifiedBy>
  <dcterms:modified xsi:type="dcterms:W3CDTF">2019-07-06T08:47:45Z</dcterms:modified>
  <revision>5</revision>
</coreProperties>
</file>

<file path=docProps/custom.xml><?xml version="1.0" encoding="utf-8"?>
<Properties xmlns="http://schemas.openxmlformats.org/officeDocument/2006/custom-properties" xmlns:vt="http://schemas.openxmlformats.org/officeDocument/2006/docPropsVTypes"/>
</file>